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16B" w:rsidRDefault="0051516B" w:rsidP="0051516B">
      <w:pPr>
        <w:autoSpaceDE w:val="0"/>
        <w:autoSpaceDN w:val="0"/>
        <w:adjustRightInd w:val="0"/>
        <w:spacing w:after="0" w:line="240" w:lineRule="auto"/>
        <w:rPr>
          <w:rFonts w:ascii="Times New Roman" w:hAnsi="Times New Roman"/>
          <w:b/>
          <w:sz w:val="24"/>
          <w:szCs w:val="24"/>
        </w:rPr>
      </w:pPr>
    </w:p>
    <w:p w:rsidR="008507ED" w:rsidRDefault="008507ED" w:rsidP="008507ED">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Задания по контрольным работам для студентов ЗФО</w:t>
      </w:r>
    </w:p>
    <w:p w:rsidR="0051516B" w:rsidRDefault="0051516B" w:rsidP="008507ED">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Раскройте теоретические вопросы и решите кейс.</w:t>
      </w:r>
      <w:bookmarkStart w:id="0" w:name="_GoBack"/>
      <w:bookmarkEnd w:id="0"/>
    </w:p>
    <w:p w:rsidR="008507ED" w:rsidRDefault="008507ED" w:rsidP="008507ED">
      <w:pPr>
        <w:autoSpaceDE w:val="0"/>
        <w:autoSpaceDN w:val="0"/>
        <w:adjustRightInd w:val="0"/>
        <w:spacing w:after="0" w:line="240" w:lineRule="auto"/>
        <w:jc w:val="center"/>
        <w:rPr>
          <w:rFonts w:ascii="Times New Roman" w:hAnsi="Times New Roman"/>
          <w:b/>
          <w:sz w:val="24"/>
          <w:szCs w:val="24"/>
        </w:rPr>
      </w:pPr>
    </w:p>
    <w:p w:rsidR="008507ED" w:rsidRPr="008507ED" w:rsidRDefault="008507ED" w:rsidP="008507ED">
      <w:pPr>
        <w:pStyle w:val="book"/>
        <w:shd w:val="clear" w:color="auto" w:fill="FDFEFF"/>
        <w:ind w:firstLine="0"/>
        <w:jc w:val="center"/>
        <w:rPr>
          <w:b/>
        </w:rPr>
      </w:pPr>
      <w:r w:rsidRPr="008507ED">
        <w:rPr>
          <w:b/>
        </w:rPr>
        <w:t>Вариант №1</w:t>
      </w:r>
    </w:p>
    <w:p w:rsidR="008507ED" w:rsidRDefault="008507ED" w:rsidP="008507ED">
      <w:pPr>
        <w:pStyle w:val="a4"/>
        <w:widowControl w:val="0"/>
        <w:numPr>
          <w:ilvl w:val="0"/>
          <w:numId w:val="1"/>
        </w:numPr>
        <w:tabs>
          <w:tab w:val="left" w:pos="426"/>
          <w:tab w:val="left" w:pos="567"/>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Основные понятия, используемые в Федеральном законе от 27.08.2010 № 210-ФЗ </w:t>
      </w:r>
      <w:r>
        <w:rPr>
          <w:rFonts w:ascii="Times New Roman" w:hAnsi="Times New Roman"/>
          <w:spacing w:val="-3"/>
          <w:sz w:val="24"/>
          <w:szCs w:val="24"/>
        </w:rPr>
        <w:t xml:space="preserve">«Об </w:t>
      </w:r>
      <w:r>
        <w:rPr>
          <w:rFonts w:ascii="Times New Roman" w:hAnsi="Times New Roman"/>
          <w:sz w:val="24"/>
          <w:szCs w:val="24"/>
        </w:rPr>
        <w:t>организации предоставления</w:t>
      </w:r>
      <w:r>
        <w:rPr>
          <w:rFonts w:ascii="Times New Roman" w:hAnsi="Times New Roman"/>
          <w:spacing w:val="25"/>
          <w:sz w:val="24"/>
          <w:szCs w:val="24"/>
        </w:rPr>
        <w:t xml:space="preserve"> </w:t>
      </w:r>
      <w:r>
        <w:rPr>
          <w:rFonts w:ascii="Times New Roman" w:hAnsi="Times New Roman"/>
          <w:sz w:val="24"/>
          <w:szCs w:val="24"/>
        </w:rPr>
        <w:t>государственных</w:t>
      </w:r>
      <w:r>
        <w:rPr>
          <w:rFonts w:ascii="Times New Roman" w:hAnsi="Times New Roman"/>
          <w:spacing w:val="26"/>
          <w:sz w:val="24"/>
          <w:szCs w:val="24"/>
        </w:rPr>
        <w:t xml:space="preserve"> </w:t>
      </w:r>
      <w:r>
        <w:rPr>
          <w:rFonts w:ascii="Times New Roman" w:hAnsi="Times New Roman"/>
          <w:sz w:val="24"/>
          <w:szCs w:val="24"/>
        </w:rPr>
        <w:t>и</w:t>
      </w:r>
      <w:r>
        <w:rPr>
          <w:rFonts w:ascii="Times New Roman" w:hAnsi="Times New Roman"/>
          <w:spacing w:val="25"/>
          <w:sz w:val="24"/>
          <w:szCs w:val="24"/>
        </w:rPr>
        <w:t xml:space="preserve"> </w:t>
      </w:r>
      <w:r>
        <w:rPr>
          <w:rFonts w:ascii="Times New Roman" w:hAnsi="Times New Roman"/>
          <w:sz w:val="24"/>
          <w:szCs w:val="24"/>
        </w:rPr>
        <w:t>муниципальных</w:t>
      </w:r>
      <w:r>
        <w:rPr>
          <w:rFonts w:ascii="Times New Roman" w:hAnsi="Times New Roman"/>
          <w:spacing w:val="27"/>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1"/>
        </w:numPr>
        <w:tabs>
          <w:tab w:val="left" w:pos="426"/>
          <w:tab w:val="left" w:pos="567"/>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Требования к организации предоставления государственных услуг в электронной</w:t>
      </w:r>
      <w:r>
        <w:rPr>
          <w:rFonts w:ascii="Times New Roman" w:hAnsi="Times New Roman"/>
          <w:spacing w:val="-7"/>
          <w:sz w:val="24"/>
          <w:szCs w:val="24"/>
        </w:rPr>
        <w:t xml:space="preserve"> </w:t>
      </w:r>
      <w:r>
        <w:rPr>
          <w:rFonts w:ascii="Times New Roman" w:hAnsi="Times New Roman"/>
          <w:sz w:val="24"/>
          <w:szCs w:val="24"/>
        </w:rPr>
        <w:t>форме</w:t>
      </w:r>
    </w:p>
    <w:p w:rsidR="008507ED" w:rsidRDefault="008507ED" w:rsidP="008507ED">
      <w:pPr>
        <w:pStyle w:val="a4"/>
        <w:widowControl w:val="0"/>
        <w:numPr>
          <w:ilvl w:val="0"/>
          <w:numId w:val="1"/>
        </w:numPr>
        <w:tabs>
          <w:tab w:val="left" w:pos="426"/>
          <w:tab w:val="left" w:pos="567"/>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Федеральная антимонопольная служба приняла решение об отмене результатов закупки на основании того, что заказчик при оценке заявок на участие в запросе предложений не руководствовался методикой и критериями оценки заявок, утвержденной начальником Департамента по управлению корпоративными закупками ОАО «РОСНО». </w:t>
      </w:r>
      <w:proofErr w:type="gramStart"/>
      <w:r>
        <w:rPr>
          <w:rFonts w:ascii="Times New Roman" w:hAnsi="Times New Roman"/>
          <w:sz w:val="24"/>
          <w:szCs w:val="24"/>
        </w:rPr>
        <w:t>В документе ФАС России также отмечено, что указанная методика не была включена в состав документации о закупке и не была размещена на официальном сайге.</w:t>
      </w:r>
      <w:proofErr w:type="gramEnd"/>
      <w:r>
        <w:rPr>
          <w:rFonts w:ascii="Times New Roman" w:hAnsi="Times New Roman"/>
          <w:sz w:val="24"/>
          <w:szCs w:val="24"/>
        </w:rPr>
        <w:t xml:space="preserve"> При этом в документации о запросе предложений содержится порядок оценки и сопоставления заявок.</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 Возможно ли без указания в документации о закупке качественных показателей (вид, значимость, формула расчета) обеспечить информационную открытость закупки, равноправие участников закупки, справедливость, отсутствие дискриминации и необоснованных ограничений конкуренции по отношению к участникам закупки?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Является ли нарушением ч. 6 ст. 3, п. 13 ч. 10 ст. 4 Закона о закупках применение критериев оценки и сопоставления заявок, указанных в документации о закупке, вместо применения критериев, содержащихся в утвержденной методике?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Вправе ли заказчик привлекать для оценки и сопоставления заявок экспертов, экспертные организации?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Какая разница между требованиями относительно содержания документации (критерии оценки заявок, величины значимости критериев, порядок рассмотрения и оценки заявок), предусмотренными Законом о контрактной системе и Законом о закупках?</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 и Закона о закупках.</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Вариант  №2</w:t>
      </w:r>
    </w:p>
    <w:p w:rsidR="008507ED" w:rsidRDefault="008507ED" w:rsidP="008507ED">
      <w:pPr>
        <w:pStyle w:val="a4"/>
        <w:widowControl w:val="0"/>
        <w:numPr>
          <w:ilvl w:val="0"/>
          <w:numId w:val="2"/>
        </w:numPr>
        <w:tabs>
          <w:tab w:val="left" w:pos="426"/>
          <w:tab w:val="left" w:pos="675"/>
          <w:tab w:val="left" w:pos="2149"/>
          <w:tab w:val="left" w:pos="3214"/>
          <w:tab w:val="left" w:pos="4822"/>
          <w:tab w:val="left" w:pos="6147"/>
          <w:tab w:val="left" w:pos="7662"/>
          <w:tab w:val="left" w:pos="7981"/>
          <w:tab w:val="left" w:pos="8703"/>
          <w:tab w:val="left" w:pos="9018"/>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Нормативное правовое регулирование отношений, возникающих в связи с </w:t>
      </w:r>
      <w:r>
        <w:rPr>
          <w:rFonts w:ascii="Times New Roman" w:hAnsi="Times New Roman"/>
          <w:spacing w:val="-1"/>
          <w:sz w:val="24"/>
          <w:szCs w:val="24"/>
        </w:rPr>
        <w:t xml:space="preserve">предоставлением </w:t>
      </w:r>
      <w:r>
        <w:rPr>
          <w:rFonts w:ascii="Times New Roman" w:hAnsi="Times New Roman"/>
          <w:sz w:val="24"/>
          <w:szCs w:val="24"/>
        </w:rPr>
        <w:t>государственных</w:t>
      </w:r>
      <w:r>
        <w:rPr>
          <w:rFonts w:ascii="Times New Roman" w:hAnsi="Times New Roman"/>
          <w:spacing w:val="-1"/>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2"/>
        </w:numPr>
        <w:tabs>
          <w:tab w:val="left" w:pos="426"/>
          <w:tab w:val="left" w:pos="675"/>
          <w:tab w:val="left" w:pos="2149"/>
          <w:tab w:val="left" w:pos="3214"/>
          <w:tab w:val="left" w:pos="4822"/>
          <w:tab w:val="left" w:pos="6147"/>
          <w:tab w:val="left" w:pos="7662"/>
          <w:tab w:val="left" w:pos="7981"/>
          <w:tab w:val="left" w:pos="8703"/>
          <w:tab w:val="left" w:pos="9018"/>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Реестры государственных</w:t>
      </w:r>
      <w:r>
        <w:rPr>
          <w:rFonts w:ascii="Times New Roman" w:hAnsi="Times New Roman"/>
          <w:spacing w:val="-1"/>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2"/>
        </w:numPr>
        <w:tabs>
          <w:tab w:val="left" w:pos="426"/>
          <w:tab w:val="left" w:pos="675"/>
          <w:tab w:val="left" w:pos="2149"/>
          <w:tab w:val="left" w:pos="3214"/>
          <w:tab w:val="left" w:pos="4822"/>
          <w:tab w:val="left" w:pos="6147"/>
          <w:tab w:val="left" w:pos="7662"/>
          <w:tab w:val="left" w:pos="7981"/>
          <w:tab w:val="left" w:pos="8703"/>
          <w:tab w:val="left" w:pos="9018"/>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Заявка участника на участие в электронном аукционе была признана заказчиком не соответствующей требованиям по причине того, что участник </w:t>
      </w:r>
      <w:proofErr w:type="spellStart"/>
      <w:r>
        <w:rPr>
          <w:rFonts w:ascii="Times New Roman" w:hAnsi="Times New Roman"/>
          <w:sz w:val="24"/>
          <w:szCs w:val="24"/>
        </w:rPr>
        <w:t>нс</w:t>
      </w:r>
      <w:proofErr w:type="spellEnd"/>
      <w:r>
        <w:rPr>
          <w:rFonts w:ascii="Times New Roman" w:hAnsi="Times New Roman"/>
          <w:sz w:val="24"/>
          <w:szCs w:val="24"/>
        </w:rPr>
        <w:t xml:space="preserve"> указал наименование места происхождения товара. В обоснование своей позиции заказчик отметил, что данное требование было установлено документацией об электронном аукционе. Из протокола рассмотрения заявок на участие в электронном аукционе следует, что заявка заявителя не соответствует требованиям, установленным документацией об аукционе, поскольку в ней отсутствует указание на наименование производителя используемого товара. Участник в заявке указал следующее:</w:t>
      </w:r>
    </w:p>
    <w:p w:rsidR="008507ED" w:rsidRDefault="008507ED" w:rsidP="008507ED">
      <w:pPr>
        <w:tabs>
          <w:tab w:val="left" w:pos="851"/>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позиция «производитель и место происхождения товара» — ООО «Альфа», Россия, г. Балашиха;</w:t>
      </w:r>
      <w:proofErr w:type="gramEnd"/>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позиция «товарный знак и место происхождения товара» — «AGORA», Китай.</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 Какие сведения должна содержать первая часть заявки на участие в электронном аукционе?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2. По каким критериям аукционная комиссия заказчика проверяет первые части заявок на участие в электронном аукционе?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По каким основаниям заказчик принимает решение об отказе в допуске заявки участника при рассмотрении первых частей заявок?</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Были ли по позициям, послужившим причиной отказа в допуске заявки, указаны все необходимые и достаточные сведения?</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5. Установлено ли нормами Закона о контрактной системе </w:t>
      </w:r>
      <w:proofErr w:type="gramStart"/>
      <w:r>
        <w:rPr>
          <w:rFonts w:ascii="Times New Roman" w:hAnsi="Times New Roman"/>
          <w:sz w:val="24"/>
          <w:szCs w:val="24"/>
        </w:rPr>
        <w:t>требование</w:t>
      </w:r>
      <w:proofErr w:type="gramEnd"/>
      <w:r>
        <w:rPr>
          <w:rFonts w:ascii="Times New Roman" w:hAnsi="Times New Roman"/>
          <w:sz w:val="24"/>
          <w:szCs w:val="24"/>
        </w:rPr>
        <w:t xml:space="preserve"> о том, что к месту происхождения товара должна быть предоставлена правовая охрана, вследствие чего должны применяться положения ст. 1516 ГК РФ?</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Вправе ли участник указать полное или сокращенное наименование страны происхождения товара в случае поставки товара, у которого отсутствует правовая охрана наименования места происхождения?</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7. Правомерно ли заказчик принял решение об отказе в допуске заявки участника к рассмотрению, если учесть, что предметом закупки являлась поставка товара, у которого имеется правовая охрана наименования места происхождения?</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Вариант №3</w:t>
      </w:r>
    </w:p>
    <w:p w:rsidR="008507ED" w:rsidRDefault="008507ED" w:rsidP="008507ED">
      <w:pPr>
        <w:pStyle w:val="a4"/>
        <w:widowControl w:val="0"/>
        <w:numPr>
          <w:ilvl w:val="0"/>
          <w:numId w:val="3"/>
        </w:numPr>
        <w:tabs>
          <w:tab w:val="left" w:pos="426"/>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Основные принципы предоставления государственных</w:t>
      </w:r>
      <w:r>
        <w:rPr>
          <w:rFonts w:ascii="Times New Roman" w:hAnsi="Times New Roman"/>
          <w:spacing w:val="-2"/>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3"/>
        </w:numPr>
        <w:tabs>
          <w:tab w:val="left" w:pos="426"/>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Предмет досудебного (внесудебного) обжалования заявителем решений и действий (бездействия) органа, предоставляющего государственную услугу, должностного лица либо государственного</w:t>
      </w:r>
      <w:r>
        <w:rPr>
          <w:rFonts w:ascii="Times New Roman" w:hAnsi="Times New Roman"/>
          <w:spacing w:val="1"/>
          <w:sz w:val="24"/>
          <w:szCs w:val="24"/>
        </w:rPr>
        <w:t xml:space="preserve"> </w:t>
      </w:r>
      <w:r>
        <w:rPr>
          <w:rFonts w:ascii="Times New Roman" w:hAnsi="Times New Roman"/>
          <w:sz w:val="24"/>
          <w:szCs w:val="24"/>
        </w:rPr>
        <w:t>служащего</w:t>
      </w:r>
    </w:p>
    <w:p w:rsidR="008507ED" w:rsidRDefault="008507ED" w:rsidP="008507ED">
      <w:pPr>
        <w:pStyle w:val="a4"/>
        <w:widowControl w:val="0"/>
        <w:numPr>
          <w:ilvl w:val="0"/>
          <w:numId w:val="3"/>
        </w:numPr>
        <w:tabs>
          <w:tab w:val="left" w:pos="426"/>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Заказчик отклонил заявку участника электронного аукциона на основании того, что во второй части заявки на участие в электронном аукционе отсутствует документ с указанием страны происхождения товара. При этом участник указал (декларировал) место происхождения товара в первой части заявки на участие в электронном аукционе.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 Исключает ли указание места происхождения товара в первой части заявки на участие в электронном аукционе обязанность указывать (декларировать) страну происхождения товара во второй части заявки, если соответствующее требование содержалось (не содержалось) в документации об электронном аукционе?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Каковы условия допуска товаров, происходящих из иностранных государств, для целей осуществления закупок продукции для обеспечения государственных и муниципальных нужд?</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Противоречат ли условия, запреты, ограничения, установленные заказчиком в соответствии со ст. 14 Закона о контрактной системе принципам обеспечения конкуренции и открытости закупок и цели контрактной системы в сфере закупок?</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Верно ли, что законодатель разграничивает такие понятия, как место происхождения, предоставляемое в первой части заявки, и страна происхождения, которую должны декларировать участники в составе второй части?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Каковы рекомендации по определению в документации о закупке требования об указании (декларировании) участником закупки страны происхождения товара?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proofErr w:type="gramStart"/>
      <w:r>
        <w:rPr>
          <w:rFonts w:ascii="Times New Roman" w:hAnsi="Times New Roman"/>
          <w:sz w:val="24"/>
          <w:szCs w:val="24"/>
        </w:rPr>
        <w:t>Правомерно ли решение аукционной комиссии об отклонении заявки и принятии решения о признании заявки участника закупки не соответствующей требованиям, установленным в документации об электронном аукционе, при условии, что в аукционной документации установлено (не установлено) требование о том, что участники закупки в составе второй части заявки должны предоставить документы, подтверждающие соответствие участника аукциона и (или) предлагаемой им продукции условиям, запретам и</w:t>
      </w:r>
      <w:proofErr w:type="gramEnd"/>
      <w:r>
        <w:rPr>
          <w:rFonts w:ascii="Times New Roman" w:hAnsi="Times New Roman"/>
          <w:sz w:val="24"/>
          <w:szCs w:val="24"/>
        </w:rPr>
        <w:t xml:space="preserve"> ограничениям, установленным заказчиком?</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7. Правомерно ли решение аукционной комиссии об отклонении заявки и принятии решения о признании заявки участника закупки не соответствующей требованиям, </w:t>
      </w:r>
      <w:r>
        <w:rPr>
          <w:rFonts w:ascii="Times New Roman" w:hAnsi="Times New Roman"/>
          <w:sz w:val="24"/>
          <w:szCs w:val="24"/>
        </w:rPr>
        <w:lastRenderedPageBreak/>
        <w:t>установленным в документации об электронном аукционе, при условии, что предмет закупки включен (не включен) в перечень товаров, на которые распространяются условия допуска товаров, происходящих из иностранных государств?</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 приказ Минэкономразвития России от 25.03.2014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Вариант №4</w:t>
      </w:r>
    </w:p>
    <w:p w:rsidR="008507ED" w:rsidRDefault="008507ED" w:rsidP="008507ED">
      <w:pPr>
        <w:pStyle w:val="a4"/>
        <w:widowControl w:val="0"/>
        <w:numPr>
          <w:ilvl w:val="0"/>
          <w:numId w:val="4"/>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Права заявителей при получении государственных</w:t>
      </w:r>
      <w:r>
        <w:rPr>
          <w:rFonts w:ascii="Times New Roman" w:hAnsi="Times New Roman"/>
          <w:spacing w:val="-4"/>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4"/>
        </w:numPr>
        <w:tabs>
          <w:tab w:val="left" w:pos="426"/>
          <w:tab w:val="left" w:pos="632"/>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Общие требования к порядку подачи и рассмотрения</w:t>
      </w:r>
      <w:r>
        <w:rPr>
          <w:rFonts w:ascii="Times New Roman" w:hAnsi="Times New Roman"/>
          <w:spacing w:val="-9"/>
          <w:sz w:val="24"/>
          <w:szCs w:val="24"/>
        </w:rPr>
        <w:t xml:space="preserve"> </w:t>
      </w:r>
      <w:r>
        <w:rPr>
          <w:rFonts w:ascii="Times New Roman" w:hAnsi="Times New Roman"/>
          <w:sz w:val="24"/>
          <w:szCs w:val="24"/>
        </w:rPr>
        <w:t>жалобы</w:t>
      </w:r>
    </w:p>
    <w:p w:rsidR="008507ED" w:rsidRDefault="008507ED" w:rsidP="008507ED">
      <w:pPr>
        <w:pStyle w:val="a4"/>
        <w:widowControl w:val="0"/>
        <w:numPr>
          <w:ilvl w:val="0"/>
          <w:numId w:val="4"/>
        </w:numPr>
        <w:tabs>
          <w:tab w:val="left" w:pos="426"/>
          <w:tab w:val="left" w:pos="632"/>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Заказчик, осуществляющий закупки в соответствии с Законом о закупках на основании утвержденного положения о закупках, направил запрос предложений с учетом следующих критериев оценки заявок участников:</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оценка квалификации участника: </w:t>
      </w:r>
    </w:p>
    <w:p w:rsidR="008507ED" w:rsidRDefault="008507ED" w:rsidP="008507ED">
      <w:pPr>
        <w:tabs>
          <w:tab w:val="left" w:pos="851"/>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«Значимость 40%. 1) наличие разрешительных документов, а также сертификатов и аттестатов для оказания услуг в соответствии с предметом проводимого запроса предложений; 2) опыт оказания услуг, аналогичных предмету запроса предложений за период 2012—2014 гг.; 3) состав и квалификация персонала участника; 4) материально-техническое обеспечение; 5) применяемая в организации участника система контроля качества оказываемых услуг (в случае, если данное требование установлено документацией);</w:t>
      </w:r>
      <w:proofErr w:type="gramEnd"/>
      <w:r>
        <w:rPr>
          <w:rFonts w:ascii="Times New Roman" w:hAnsi="Times New Roman"/>
          <w:sz w:val="24"/>
          <w:szCs w:val="24"/>
        </w:rPr>
        <w:t xml:space="preserve"> 6) профессиональная репутация (отзывы других заказчиков); 7) нахождение участника в Реестре потенциальных участников закупок заказчика по определенным видам поставляемых товаров, выполняемых работ, оказываемых услуг в одном или нескольких федеральных округах РФ в соответствии с предметом запроса предложений»;</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оценка коммерческого предложения участника (уровень цены заявки и ее обоснованность); </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«Значимость 30%. 1) оценка уровня цены заявки;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срок оплаты с момента оказания услуг (выполнения работ)»;</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оценка технического предложения участника: «Значимость 30%. 1) соответствие технического предложения требованиям технического задания заказчика; 2) реализуемость предложенных услуг по срокам;</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привлечение для оказания услуг в качестве субподрядчиков/соисполнителей российских организаций малого и среднего предпринимательства».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Согласно закупочной документации в рамках оценочной стадии заказчик с привлечением для проведения оценки экспертов оценивает и сопоставляет заявки на участие в запросе предложений и проводит их ранжирование по степени предпочтительности для заказчика. При этом положение о закупке, закупочная документация не содержат информации о порядке оценки заявок на участие в закупке. Заказчик осуществлял оценку заявок в соответствии с методикой и критериями оценки заявок на участие в закупке, утвержденными уполномоченным лицом заказчика, содержащими подробный порядок оценки по критериям закупочной документации.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 Возможно ли определение правомерности выбора победителя в запросе предложений в случае, когда положение о закупке, закупочная документация не содержат информации о порядке оценки на участие в закупке?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Вправе ли заказчик не размещать на официальном сайте методику и критерии оценки заявок на участие в закупке, утвержденные уполномоченным лицом заказчика, содержащие подробный порядок оценки по критериям закупочной документации?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3. Из каких источников участники закупок получают достоверную информацию о порядке присвоения баллов поданным заявкам?</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Какие особенности процедуры осуществления закупок обеспечивают равные права и возможности для участников закупки и равные условия </w:t>
      </w:r>
      <w:proofErr w:type="gramStart"/>
      <w:r>
        <w:rPr>
          <w:rFonts w:ascii="Times New Roman" w:hAnsi="Times New Roman"/>
          <w:sz w:val="24"/>
          <w:szCs w:val="24"/>
        </w:rPr>
        <w:t>для участия в торгах в соответствии с Законом о закупках</w:t>
      </w:r>
      <w:proofErr w:type="gramEnd"/>
      <w:r>
        <w:rPr>
          <w:rFonts w:ascii="Times New Roman" w:hAnsi="Times New Roman"/>
          <w:sz w:val="24"/>
          <w:szCs w:val="24"/>
        </w:rPr>
        <w:t xml:space="preserve"> (Законом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Какая информация необходима участникам закупок для того, чтобы оценить свои потенциальные возможности для предложения лучших условий исполнения договора и объединиться в соответствии с ч. 5 ст. 3 Закона о закупках в консорциум при необходимости?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Допущено ли в действиях заказчика нарушение Закона о закупках (ст. 3, 4)?</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закупках.</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Вариант  №5</w:t>
      </w:r>
    </w:p>
    <w:p w:rsidR="008507ED" w:rsidRDefault="008507ED" w:rsidP="008507ED">
      <w:pPr>
        <w:pStyle w:val="a4"/>
        <w:widowControl w:val="0"/>
        <w:numPr>
          <w:ilvl w:val="0"/>
          <w:numId w:val="5"/>
        </w:numPr>
        <w:tabs>
          <w:tab w:val="left" w:pos="426"/>
          <w:tab w:val="left" w:pos="632"/>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Обязанности органов, предоставляющих государственные услуги, и подведомственных государственным органам</w:t>
      </w:r>
      <w:r>
        <w:rPr>
          <w:rFonts w:ascii="Times New Roman" w:hAnsi="Times New Roman"/>
          <w:spacing w:val="-3"/>
          <w:sz w:val="24"/>
          <w:szCs w:val="24"/>
        </w:rPr>
        <w:t xml:space="preserve"> </w:t>
      </w:r>
      <w:r>
        <w:rPr>
          <w:rFonts w:ascii="Times New Roman" w:hAnsi="Times New Roman"/>
          <w:sz w:val="24"/>
          <w:szCs w:val="24"/>
        </w:rPr>
        <w:t>организаций</w:t>
      </w:r>
    </w:p>
    <w:p w:rsidR="008507ED" w:rsidRDefault="008507ED" w:rsidP="008507ED">
      <w:pPr>
        <w:pStyle w:val="a4"/>
        <w:widowControl w:val="0"/>
        <w:numPr>
          <w:ilvl w:val="0"/>
          <w:numId w:val="5"/>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Информационная система досудебного (внесудебного)</w:t>
      </w:r>
      <w:r>
        <w:rPr>
          <w:rFonts w:ascii="Times New Roman" w:hAnsi="Times New Roman"/>
          <w:spacing w:val="-4"/>
          <w:sz w:val="24"/>
          <w:szCs w:val="24"/>
        </w:rPr>
        <w:t xml:space="preserve"> </w:t>
      </w:r>
      <w:r>
        <w:rPr>
          <w:rFonts w:ascii="Times New Roman" w:hAnsi="Times New Roman"/>
          <w:sz w:val="24"/>
          <w:szCs w:val="24"/>
        </w:rPr>
        <w:t>обжалования</w:t>
      </w:r>
    </w:p>
    <w:p w:rsidR="008507ED" w:rsidRDefault="008507ED" w:rsidP="008507ED">
      <w:pPr>
        <w:pStyle w:val="a4"/>
        <w:widowControl w:val="0"/>
        <w:numPr>
          <w:ilvl w:val="0"/>
          <w:numId w:val="5"/>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Заказчик осуществил закупку на поставку автомобиля товарного знака </w:t>
      </w:r>
      <w:proofErr w:type="spellStart"/>
      <w:r>
        <w:rPr>
          <w:rFonts w:ascii="Times New Roman" w:hAnsi="Times New Roman"/>
          <w:iCs/>
          <w:sz w:val="24"/>
          <w:szCs w:val="24"/>
        </w:rPr>
        <w:t>Toyota</w:t>
      </w:r>
      <w:proofErr w:type="spellEnd"/>
      <w:r>
        <w:rPr>
          <w:rFonts w:ascii="Times New Roman" w:hAnsi="Times New Roman"/>
          <w:iCs/>
          <w:sz w:val="24"/>
          <w:szCs w:val="24"/>
        </w:rPr>
        <w:t>.</w:t>
      </w:r>
      <w:r>
        <w:rPr>
          <w:rFonts w:ascii="Times New Roman" w:hAnsi="Times New Roman"/>
          <w:sz w:val="24"/>
          <w:szCs w:val="24"/>
        </w:rPr>
        <w:t> Для определения и обоснования НМЦК заказчиком были направлены запросы поставщикам, осуществляющим поставку идентичных товаров. При анализе рынка использовалась информация о стоимости идентичных товаров, а именно автомобиля марки </w:t>
      </w:r>
      <w:proofErr w:type="spellStart"/>
      <w:r>
        <w:rPr>
          <w:rFonts w:ascii="Times New Roman" w:hAnsi="Times New Roman"/>
          <w:iCs/>
          <w:sz w:val="24"/>
          <w:szCs w:val="24"/>
        </w:rPr>
        <w:t>Toyota</w:t>
      </w:r>
      <w:proofErr w:type="spellEnd"/>
      <w:r>
        <w:rPr>
          <w:rFonts w:ascii="Times New Roman" w:hAnsi="Times New Roman"/>
          <w:iCs/>
          <w:sz w:val="24"/>
          <w:szCs w:val="24"/>
        </w:rPr>
        <w:t xml:space="preserve"> </w:t>
      </w:r>
      <w:proofErr w:type="spellStart"/>
      <w:r>
        <w:rPr>
          <w:rFonts w:ascii="Times New Roman" w:hAnsi="Times New Roman"/>
          <w:iCs/>
          <w:sz w:val="24"/>
          <w:szCs w:val="24"/>
        </w:rPr>
        <w:t>Camiy</w:t>
      </w:r>
      <w:proofErr w:type="spellEnd"/>
      <w:r>
        <w:rPr>
          <w:rFonts w:ascii="Times New Roman" w:hAnsi="Times New Roman"/>
          <w:iCs/>
          <w:sz w:val="24"/>
          <w:szCs w:val="24"/>
        </w:rPr>
        <w:t>,</w:t>
      </w:r>
      <w:r>
        <w:rPr>
          <w:rFonts w:ascii="Times New Roman" w:hAnsi="Times New Roman"/>
          <w:sz w:val="24"/>
          <w:szCs w:val="24"/>
        </w:rPr>
        <w:t> который соответствует описанию объекта закупки и представлен на функционирующем рынке.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На основании поступивших ответов на указанные запросы заказчиком был применен метод сопоставимых рыночных цен (анализ рынка) для обоснования НМ ЦК в соответствии со ст. 22 Закона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Каким</w:t>
      </w:r>
      <w:proofErr w:type="gramEnd"/>
      <w:r>
        <w:rPr>
          <w:rFonts w:ascii="Times New Roman" w:hAnsi="Times New Roman"/>
          <w:sz w:val="24"/>
          <w:szCs w:val="24"/>
        </w:rPr>
        <w:t xml:space="preserve"> НПА руководствуется заказчик при определении и обосновании НМЦК?</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Был ли нарушен порядок обоснования НМЦК вследствие того, что заказчик запросил информацию о ценах исключительно на автомобиль товарного знака </w:t>
      </w:r>
      <w:proofErr w:type="spellStart"/>
      <w:r>
        <w:rPr>
          <w:rFonts w:ascii="Times New Roman" w:hAnsi="Times New Roman"/>
          <w:iCs/>
          <w:sz w:val="24"/>
          <w:szCs w:val="24"/>
        </w:rPr>
        <w:t>Toyota</w:t>
      </w:r>
      <w:proofErr w:type="spellEnd"/>
      <w:r>
        <w:rPr>
          <w:rFonts w:ascii="Times New Roman" w:hAnsi="Times New Roman"/>
          <w:sz w:val="24"/>
          <w:szCs w:val="24"/>
        </w:rPr>
        <w:t>?</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Допустил ли заказчик нарушение Закона о контрактной системе вследствие того, что при определении и обосновании НМЦК он использовал только метод сопоставимых рыночных цен (анализ рынка)?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В чем заключается суть метода сопоставимых рыночных цен (анализа рынка)?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Может ли в целях применения метода сопоставимых рыночных цен (анализа рынка) использоваться информация о ценах на продукцию, полученная по запросу заказчика у поставщиков (подрядчиков, исполнителей), осуществляющих поставки идентичной продукции, планируемой к закупкам, или, при ее отсутствии, однородной продукции?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Вправе ли заказчик направлять запросы поставщикам, осуществляющим поставку однородных товаров, если на функционирующем рынке действуют поставщики, осуществляющие поставку идентичных товаров?</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w:t>
      </w:r>
      <w:r>
        <w:rPr>
          <w:rFonts w:ascii="Times New Roman" w:hAnsi="Times New Roman"/>
          <w:sz w:val="24"/>
          <w:szCs w:val="24"/>
        </w:rPr>
        <w:t>, </w:t>
      </w:r>
      <w:r>
        <w:rPr>
          <w:rFonts w:ascii="Times New Roman" w:hAnsi="Times New Roman"/>
          <w:iCs/>
          <w:sz w:val="24"/>
          <w:szCs w:val="24"/>
        </w:rPr>
        <w:t>приказа Минэкономразвития России от 02.10.2013 №567 «Об утверждении Методических рекомендаций по применению методов определения начальной (максимальной) цены контракта</w:t>
      </w:r>
      <w:r>
        <w:rPr>
          <w:rFonts w:ascii="Times New Roman" w:hAnsi="Times New Roman"/>
          <w:sz w:val="24"/>
          <w:szCs w:val="24"/>
        </w:rPr>
        <w:t>, </w:t>
      </w:r>
      <w:r>
        <w:rPr>
          <w:rFonts w:ascii="Times New Roman" w:hAnsi="Times New Roman"/>
          <w:iCs/>
          <w:sz w:val="24"/>
          <w:szCs w:val="24"/>
        </w:rPr>
        <w:t>заключаемого с единственным поставщиком (подрядчиком</w:t>
      </w:r>
      <w:r>
        <w:rPr>
          <w:rFonts w:ascii="Times New Roman" w:hAnsi="Times New Roman"/>
          <w:sz w:val="24"/>
          <w:szCs w:val="24"/>
        </w:rPr>
        <w:t>, </w:t>
      </w:r>
      <w:r>
        <w:rPr>
          <w:rFonts w:ascii="Times New Roman" w:hAnsi="Times New Roman"/>
          <w:iCs/>
          <w:sz w:val="24"/>
          <w:szCs w:val="24"/>
        </w:rPr>
        <w:t>исполнителем)».</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Вариант №6</w:t>
      </w:r>
    </w:p>
    <w:p w:rsidR="008507ED" w:rsidRDefault="008507ED" w:rsidP="008507ED">
      <w:pPr>
        <w:pStyle w:val="a4"/>
        <w:widowControl w:val="0"/>
        <w:numPr>
          <w:ilvl w:val="0"/>
          <w:numId w:val="6"/>
        </w:numPr>
        <w:tabs>
          <w:tab w:val="left" w:pos="426"/>
          <w:tab w:val="left" w:pos="625"/>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Требования к взаимодействию с заявителем при предоставлении государственных</w:t>
      </w:r>
      <w:r>
        <w:rPr>
          <w:rFonts w:ascii="Times New Roman" w:hAnsi="Times New Roman"/>
          <w:spacing w:val="-8"/>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6"/>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Общие требования к разработке административных регламентов и их</w:t>
      </w:r>
      <w:r>
        <w:rPr>
          <w:rFonts w:ascii="Times New Roman" w:hAnsi="Times New Roman"/>
          <w:spacing w:val="-11"/>
          <w:sz w:val="24"/>
          <w:szCs w:val="24"/>
        </w:rPr>
        <w:t xml:space="preserve"> </w:t>
      </w:r>
      <w:r>
        <w:rPr>
          <w:rFonts w:ascii="Times New Roman" w:hAnsi="Times New Roman"/>
          <w:sz w:val="24"/>
          <w:szCs w:val="24"/>
        </w:rPr>
        <w:t>структуре</w:t>
      </w:r>
    </w:p>
    <w:p w:rsidR="008507ED" w:rsidRDefault="008507ED" w:rsidP="008507ED">
      <w:pPr>
        <w:pStyle w:val="a4"/>
        <w:widowControl w:val="0"/>
        <w:numPr>
          <w:ilvl w:val="0"/>
          <w:numId w:val="6"/>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lastRenderedPageBreak/>
        <w:t xml:space="preserve">Управление ФЛС России по Ленинградской области выдало заказчику предписание о внесении изменений в документацию и продлении сроков подачи заявок. </w:t>
      </w:r>
      <w:proofErr w:type="gramStart"/>
      <w:r>
        <w:rPr>
          <w:rFonts w:ascii="Times New Roman" w:hAnsi="Times New Roman"/>
          <w:sz w:val="24"/>
          <w:szCs w:val="24"/>
        </w:rPr>
        <w:t>Заказчик считает, что действия, установленные предписанием, ставят под угрозу срыва выполнение в 2014 г. работ по ремонту и содержанию автомобильных дорог, имеющих важное социально-экономические значение, что несет в себе опасность нанесения существенного вреда публичным интересам, а также что невыполнение работ по ремонту и содержанию данных автомобильных дорог не соответствует требованиям безопасности дорожного движения и представляет угрозу жизни и здоровью участников</w:t>
      </w:r>
      <w:proofErr w:type="gramEnd"/>
      <w:r>
        <w:rPr>
          <w:rFonts w:ascii="Times New Roman" w:hAnsi="Times New Roman"/>
          <w:sz w:val="24"/>
          <w:szCs w:val="24"/>
        </w:rPr>
        <w:t xml:space="preserve"> дорожного движения. Заказчик обратился в суд с исковым заявлением об отмене предписания контрольного органа.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1. Вправе ли органы контроля выдавать предписание, если продление сроков подачи заявок не позволит завершить плановые </w:t>
      </w:r>
      <w:proofErr w:type="gramStart"/>
      <w:r>
        <w:rPr>
          <w:rFonts w:ascii="Times New Roman" w:hAnsi="Times New Roman"/>
          <w:sz w:val="24"/>
          <w:szCs w:val="24"/>
        </w:rPr>
        <w:t>работы</w:t>
      </w:r>
      <w:proofErr w:type="gramEnd"/>
      <w:r>
        <w:rPr>
          <w:rFonts w:ascii="Times New Roman" w:hAnsi="Times New Roman"/>
          <w:sz w:val="24"/>
          <w:szCs w:val="24"/>
        </w:rPr>
        <w:t xml:space="preserve"> но ремонту и содержанию автомобильных дорог, имеющих важное социально-экономическое значение?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Вправе ли заказчик опротестовать решение контрольного органа?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Наносит ли принятие судом обеспечительных мер в виде приостановления действия предписания Управления ФАС России по Ленинградской области ущерб правам и законным интересам третьих лиц, а также публичным интересам?</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Каковы последствия отмены предписания Управления ФАС России по Ленинградской области для процесса закупки?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Означает ли приостановление действия предписания контрольного органа в судебном порядке возобновление процедуры размещения закупки?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Вправе ли контрольный орган отменить предписание и обратиться с исковым заявлением в суд?</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7. Является ли предписание контрольного органа ограничительной мерой действий заказчика?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8. Приводит ли в конечном итоге приостановление действия предписания к его фактическому аннулированию?</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Вариант №7</w:t>
      </w:r>
    </w:p>
    <w:p w:rsidR="008507ED" w:rsidRDefault="008507ED" w:rsidP="008507ED">
      <w:pPr>
        <w:pStyle w:val="a4"/>
        <w:widowControl w:val="0"/>
        <w:numPr>
          <w:ilvl w:val="0"/>
          <w:numId w:val="7"/>
        </w:numPr>
        <w:tabs>
          <w:tab w:val="left" w:pos="426"/>
          <w:tab w:val="left" w:pos="816"/>
          <w:tab w:val="left" w:pos="2166"/>
          <w:tab w:val="left" w:pos="2521"/>
          <w:tab w:val="left" w:pos="4707"/>
          <w:tab w:val="left" w:pos="6730"/>
          <w:tab w:val="left" w:pos="8541"/>
          <w:tab w:val="left" w:pos="913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Требования к межведомственному информационному взаимодействию при </w:t>
      </w:r>
      <w:r>
        <w:rPr>
          <w:rFonts w:ascii="Times New Roman" w:hAnsi="Times New Roman"/>
          <w:spacing w:val="-1"/>
          <w:sz w:val="24"/>
          <w:szCs w:val="24"/>
        </w:rPr>
        <w:t xml:space="preserve">предоставлении </w:t>
      </w:r>
      <w:r>
        <w:rPr>
          <w:rFonts w:ascii="Times New Roman" w:hAnsi="Times New Roman"/>
          <w:sz w:val="24"/>
          <w:szCs w:val="24"/>
        </w:rPr>
        <w:t>государственных</w:t>
      </w:r>
      <w:r>
        <w:rPr>
          <w:rFonts w:ascii="Times New Roman" w:hAnsi="Times New Roman"/>
          <w:spacing w:val="-1"/>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7"/>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Требования к стандарту предоставления государственной</w:t>
      </w:r>
      <w:r>
        <w:rPr>
          <w:rFonts w:ascii="Times New Roman" w:hAnsi="Times New Roman"/>
          <w:spacing w:val="-7"/>
          <w:sz w:val="24"/>
          <w:szCs w:val="24"/>
        </w:rPr>
        <w:t xml:space="preserve"> </w:t>
      </w:r>
      <w:r>
        <w:rPr>
          <w:rFonts w:ascii="Times New Roman" w:hAnsi="Times New Roman"/>
          <w:sz w:val="24"/>
          <w:szCs w:val="24"/>
        </w:rPr>
        <w:t>услуги</w:t>
      </w:r>
    </w:p>
    <w:p w:rsidR="008507ED" w:rsidRDefault="008507ED" w:rsidP="008507ED">
      <w:pPr>
        <w:pStyle w:val="a4"/>
        <w:widowControl w:val="0"/>
        <w:numPr>
          <w:ilvl w:val="0"/>
          <w:numId w:val="7"/>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Заказчик объединил в один предмет закупки строительные работы и поставку медицинского оборудования. Предметом закупки являются поставка и монтаж товаров, в том числе: анализатор гематологический; анализатор </w:t>
      </w:r>
      <w:proofErr w:type="spellStart"/>
      <w:r>
        <w:rPr>
          <w:rFonts w:ascii="Times New Roman" w:hAnsi="Times New Roman"/>
          <w:sz w:val="24"/>
          <w:szCs w:val="24"/>
        </w:rPr>
        <w:t>коагулометр</w:t>
      </w:r>
      <w:proofErr w:type="gramStart"/>
      <w:r>
        <w:rPr>
          <w:rFonts w:ascii="Times New Roman" w:hAnsi="Times New Roman"/>
          <w:sz w:val="24"/>
          <w:szCs w:val="24"/>
        </w:rPr>
        <w:t>и</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ческий</w:t>
      </w:r>
      <w:proofErr w:type="spellEnd"/>
      <w:r>
        <w:rPr>
          <w:rFonts w:ascii="Times New Roman" w:hAnsi="Times New Roman"/>
          <w:sz w:val="24"/>
          <w:szCs w:val="24"/>
        </w:rPr>
        <w:t>; аппарат искусственной вентиляции легких; зеркало настенное; аппарат наркозный с принадлежностями. В обоснование своей позиции заказчик указал, что при осуществлении строительства объекта «под ключ» заказчик вправе предусмотреть в документации о торгах необходимость поставки и монтажа оборудования, неразрывно связанного с объектом строительства.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 Приводит ли к ограничению количества участников закупки объединение в один предмет закупок, технологически и функционально не связанных с предметом контракта?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В каких случаях заказчик вправе объединить в один предмет закупки, технологически и функционально не связанные с предметом контракта?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По каким основаниям объединенные в один предмет закупки можно отнести к оборудованию, неразрывно связанному с объектом строительства?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Обоснована ли позиция заказчика?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5. Соответствуют ли действия заказчика положению п. 1 ч. 1 ст. 33 Закона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Нарушают ли действия заказчика п. 1 ч. 1 ст. 50 Закона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7. Содержат ли действия заказчика признаки состава административного правонарушения, предусмотренного ч. 4.2 ст. 7.30 КоАП РФ?</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Вариант №8</w:t>
      </w:r>
    </w:p>
    <w:p w:rsidR="008507ED" w:rsidRDefault="008507ED" w:rsidP="008507ED">
      <w:pPr>
        <w:pStyle w:val="a4"/>
        <w:widowControl w:val="0"/>
        <w:numPr>
          <w:ilvl w:val="0"/>
          <w:numId w:val="8"/>
        </w:numPr>
        <w:tabs>
          <w:tab w:val="left" w:pos="426"/>
          <w:tab w:val="left" w:pos="776"/>
          <w:tab w:val="left" w:pos="2884"/>
          <w:tab w:val="left" w:pos="3712"/>
          <w:tab w:val="left" w:pos="4028"/>
          <w:tab w:val="left" w:pos="5739"/>
          <w:tab w:val="left" w:pos="7049"/>
          <w:tab w:val="left" w:pos="7373"/>
          <w:tab w:val="left" w:pos="8830"/>
          <w:tab w:val="left" w:pos="10320"/>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Межведомственный запрос о предоставлении документов и информации, необходимых </w:t>
      </w:r>
      <w:r>
        <w:rPr>
          <w:rFonts w:ascii="Times New Roman" w:hAnsi="Times New Roman"/>
          <w:spacing w:val="-6"/>
          <w:sz w:val="24"/>
          <w:szCs w:val="24"/>
        </w:rPr>
        <w:t xml:space="preserve">для </w:t>
      </w:r>
      <w:r>
        <w:rPr>
          <w:rFonts w:ascii="Times New Roman" w:hAnsi="Times New Roman"/>
          <w:sz w:val="24"/>
          <w:szCs w:val="24"/>
        </w:rPr>
        <w:t>предоставления государственных услуг, в рамках межведомственного информационного</w:t>
      </w:r>
      <w:r>
        <w:rPr>
          <w:rFonts w:ascii="Times New Roman" w:hAnsi="Times New Roman"/>
          <w:spacing w:val="-18"/>
          <w:sz w:val="24"/>
          <w:szCs w:val="24"/>
        </w:rPr>
        <w:t xml:space="preserve"> </w:t>
      </w:r>
      <w:r>
        <w:rPr>
          <w:rFonts w:ascii="Times New Roman" w:hAnsi="Times New Roman"/>
          <w:sz w:val="24"/>
          <w:szCs w:val="24"/>
        </w:rPr>
        <w:t>взаимодействия</w:t>
      </w:r>
    </w:p>
    <w:p w:rsidR="008507ED" w:rsidRDefault="008507ED" w:rsidP="008507ED">
      <w:pPr>
        <w:pStyle w:val="a4"/>
        <w:widowControl w:val="0"/>
        <w:numPr>
          <w:ilvl w:val="0"/>
          <w:numId w:val="8"/>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Особенности организации предоставления государственных услуг в многофункциональных</w:t>
      </w:r>
      <w:r>
        <w:rPr>
          <w:rFonts w:ascii="Times New Roman" w:hAnsi="Times New Roman"/>
          <w:spacing w:val="-10"/>
          <w:sz w:val="24"/>
          <w:szCs w:val="24"/>
        </w:rPr>
        <w:t xml:space="preserve"> </w:t>
      </w:r>
      <w:r>
        <w:rPr>
          <w:rFonts w:ascii="Times New Roman" w:hAnsi="Times New Roman"/>
          <w:sz w:val="24"/>
          <w:szCs w:val="24"/>
        </w:rPr>
        <w:t>центрах</w:t>
      </w:r>
    </w:p>
    <w:p w:rsidR="008507ED" w:rsidRDefault="008507ED" w:rsidP="008507ED">
      <w:pPr>
        <w:pStyle w:val="a4"/>
        <w:widowControl w:val="0"/>
        <w:numPr>
          <w:ilvl w:val="0"/>
          <w:numId w:val="8"/>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proofErr w:type="gramStart"/>
      <w:r>
        <w:rPr>
          <w:rFonts w:ascii="Times New Roman" w:hAnsi="Times New Roman"/>
          <w:sz w:val="24"/>
          <w:szCs w:val="24"/>
        </w:rPr>
        <w:t>Заказчиком установлено требование о наличии у участника закупки допуска СРО в соответствии с п. 33 приказа 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r>
        <w:rPr>
          <w:rFonts w:ascii="Times New Roman" w:hAnsi="Times New Roman"/>
          <w:sz w:val="24"/>
          <w:szCs w:val="24"/>
        </w:rPr>
        <w:t xml:space="preserve"> В обоснование своей позиции заказчик указал, что требование о наличии допуска СРО установлено в связи с тем, что объектом закупки является капитальный ремонт, а именно в числе прочего выполняются работы по демонтажу дверных коробок в каменных стенах и монтажу конструкций дверей, люков. Участник закупки подал жалобу в контрольный орган, поскольку считает, что данное требование установлено заказчиком необоснованно.</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Правомерно ли требование заказчика к участникам закупки, если учесть, что в технической части документаций электронных аукционов отсутствуют (присутствуют) виды работ, которые указаны в Перечне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РФ от 30.12.2009 № 624?</w:t>
      </w:r>
      <w:proofErr w:type="gramEnd"/>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Относятся ли </w:t>
      </w:r>
      <w:proofErr w:type="gramStart"/>
      <w:r>
        <w:rPr>
          <w:rFonts w:ascii="Times New Roman" w:hAnsi="Times New Roman"/>
          <w:sz w:val="24"/>
          <w:szCs w:val="24"/>
        </w:rPr>
        <w:t>работы</w:t>
      </w:r>
      <w:proofErr w:type="gramEnd"/>
      <w:r>
        <w:rPr>
          <w:rFonts w:ascii="Times New Roman" w:hAnsi="Times New Roman"/>
          <w:sz w:val="24"/>
          <w:szCs w:val="24"/>
        </w:rPr>
        <w:t xml:space="preserve"> но полной смене ветхих оконных и дверных блоков к работам, работам по строительству, реконструкции и капитальному ремонту?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Обязан ли заказчик в описании объекта закупки в документации о закупке указывать, что подрядные работы входят в Перечень, утвержденный приказом Министерства регионального развития РФ от 30.12.2009 № 624?</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Обязан ли заказчик в наименовании закупки указать, что объектом закупки является выполнение подрядных работ по капитальному ремонту?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Входит ли в обязанности лица, осуществляющего строительство, обеспечение соблюдения требований проектной документации, технических регламентов, техники безопасности в процессе указанных работ?</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Какую ответственность несет лицо, осуществляющее строительство, за качество выполняемых работ и их соответствие требованиям проектной документации?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7. Какой документ удостоверяет допуск к работам по организации строительства? Кто уполномочен выдавать такой документ?</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8. Обоснована ли жалоба участника закупки в отношении действий заказчика?</w:t>
      </w:r>
    </w:p>
    <w:p w:rsidR="008507ED" w:rsidRDefault="008507ED" w:rsidP="008507ED">
      <w:pPr>
        <w:tabs>
          <w:tab w:val="left" w:pos="851"/>
        </w:tabs>
        <w:spacing w:after="0" w:line="240" w:lineRule="auto"/>
        <w:ind w:firstLine="709"/>
        <w:jc w:val="both"/>
        <w:rPr>
          <w:rFonts w:ascii="Times New Roman" w:hAnsi="Times New Roman"/>
          <w:iCs/>
          <w:sz w:val="24"/>
          <w:szCs w:val="24"/>
        </w:rPr>
      </w:pPr>
      <w:proofErr w:type="gramStart"/>
      <w:r>
        <w:rPr>
          <w:rFonts w:ascii="Times New Roman" w:hAnsi="Times New Roman"/>
          <w:iCs/>
          <w:sz w:val="24"/>
          <w:szCs w:val="24"/>
        </w:rPr>
        <w:t>Примечание: при ответе на вопросы необходимо сослаться на нормы Закона о контрактной системе, Градостроительною кодекса РФ (</w:t>
      </w:r>
      <w:proofErr w:type="spellStart"/>
      <w:r>
        <w:rPr>
          <w:rFonts w:ascii="Times New Roman" w:hAnsi="Times New Roman"/>
          <w:iCs/>
          <w:sz w:val="24"/>
          <w:szCs w:val="24"/>
        </w:rPr>
        <w:t>cm</w:t>
      </w:r>
      <w:proofErr w:type="spellEnd"/>
      <w:r>
        <w:rPr>
          <w:rFonts w:ascii="Times New Roman" w:hAnsi="Times New Roman"/>
          <w:iCs/>
          <w:sz w:val="24"/>
          <w:szCs w:val="24"/>
        </w:rPr>
        <w:t xml:space="preserve">. 52), приказа Министерства регионального развития РФ от 30.12.2009 № 624 (п. 10.1), постановления Государственного комитета Совета Министров СССР по делам строительства от </w:t>
      </w:r>
      <w:r>
        <w:rPr>
          <w:rFonts w:ascii="Times New Roman" w:hAnsi="Times New Roman"/>
          <w:iCs/>
          <w:sz w:val="24"/>
          <w:szCs w:val="24"/>
        </w:rPr>
        <w:lastRenderedPageBreak/>
        <w:t>29.12.1973 № 279 «Об утверждении Положения о проведении планово-предупредительного ремонта производственных зданий и сооружений».</w:t>
      </w:r>
      <w:proofErr w:type="gramEnd"/>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Вариант  №9</w:t>
      </w:r>
    </w:p>
    <w:p w:rsidR="008507ED" w:rsidRDefault="008507ED" w:rsidP="008507ED">
      <w:pPr>
        <w:pStyle w:val="a4"/>
        <w:widowControl w:val="0"/>
        <w:numPr>
          <w:ilvl w:val="0"/>
          <w:numId w:val="9"/>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Требования к взиманию с заявителя платы за предоставление государственных</w:t>
      </w:r>
      <w:r>
        <w:rPr>
          <w:rFonts w:ascii="Times New Roman" w:hAnsi="Times New Roman"/>
          <w:spacing w:val="-5"/>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9"/>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Функции, права, обязанности и ответственность многофункционального</w:t>
      </w:r>
      <w:r>
        <w:rPr>
          <w:rFonts w:ascii="Times New Roman" w:hAnsi="Times New Roman"/>
          <w:spacing w:val="-9"/>
          <w:sz w:val="24"/>
          <w:szCs w:val="24"/>
        </w:rPr>
        <w:t xml:space="preserve"> </w:t>
      </w:r>
      <w:r>
        <w:rPr>
          <w:rFonts w:ascii="Times New Roman" w:hAnsi="Times New Roman"/>
          <w:sz w:val="24"/>
          <w:szCs w:val="24"/>
        </w:rPr>
        <w:t>центра</w:t>
      </w:r>
    </w:p>
    <w:p w:rsidR="008507ED" w:rsidRDefault="008507ED" w:rsidP="008507ED">
      <w:pPr>
        <w:pStyle w:val="a4"/>
        <w:widowControl w:val="0"/>
        <w:numPr>
          <w:ilvl w:val="0"/>
          <w:numId w:val="9"/>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Заказчик установил в документации об электронном аукционе предоставление участником в первой части заявки только согласие на поставку товара на условиях, предусмотренных документацией об открытом аукционе в электронной форме. Предмет контракта — покупка жилого помещения (квартиры) для переселения граждан из аварийного жилищного фонда площадью не менее 55,0 кв. м.</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 Какова структура заявки на участие в открытом аукционе в электронной форме?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Какие обязательные сведения должна содержать первая часть заявки на участие в электронном аукционе?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Какие конкретные показатели, соответствующие значениям, установленным документацией об аукционе, должен определить заказчик для данной закупки?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Вправе ли заказчик на свое усмотрение определить состав первой части заявки?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Допустил ли заказчик нарушение законодательства о контрактной системе, исключив из состава первой части заявки на участие в электронном аукционе конкретные показатели, соответствующие значениям, установленным документацией об аукционе?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Обязан ли заказчик в документации об аукционе определить конкретные показатели товара (работы, услуги), соответствующие описанию объекта закупки и значениям эквивалентности?</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Вариант №10</w:t>
      </w:r>
    </w:p>
    <w:p w:rsidR="008507ED" w:rsidRDefault="008507ED" w:rsidP="008507ED">
      <w:pPr>
        <w:pStyle w:val="a4"/>
        <w:widowControl w:val="0"/>
        <w:numPr>
          <w:ilvl w:val="0"/>
          <w:numId w:val="10"/>
        </w:numPr>
        <w:tabs>
          <w:tab w:val="left" w:pos="426"/>
          <w:tab w:val="left" w:pos="63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Требования к оказанию услуг, которые являются необходимыми и обязательными для предоставления государственных</w:t>
      </w:r>
      <w:r>
        <w:rPr>
          <w:rFonts w:ascii="Times New Roman" w:hAnsi="Times New Roman"/>
          <w:spacing w:val="-1"/>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10"/>
        </w:numPr>
        <w:tabs>
          <w:tab w:val="left" w:pos="426"/>
          <w:tab w:val="left" w:pos="63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Обязанности органов, предоставляющих государственные услуги, при предоставлении услуг в многофункциональных</w:t>
      </w:r>
      <w:r>
        <w:rPr>
          <w:rFonts w:ascii="Times New Roman" w:hAnsi="Times New Roman"/>
          <w:spacing w:val="-2"/>
          <w:sz w:val="24"/>
          <w:szCs w:val="24"/>
        </w:rPr>
        <w:t xml:space="preserve"> </w:t>
      </w:r>
      <w:r>
        <w:rPr>
          <w:rFonts w:ascii="Times New Roman" w:hAnsi="Times New Roman"/>
          <w:sz w:val="24"/>
          <w:szCs w:val="24"/>
        </w:rPr>
        <w:t>центрах</w:t>
      </w:r>
    </w:p>
    <w:p w:rsidR="008507ED" w:rsidRDefault="008507ED" w:rsidP="008507ED">
      <w:pPr>
        <w:pStyle w:val="a4"/>
        <w:widowControl w:val="0"/>
        <w:numPr>
          <w:ilvl w:val="0"/>
          <w:numId w:val="10"/>
        </w:numPr>
        <w:tabs>
          <w:tab w:val="left" w:pos="426"/>
          <w:tab w:val="left" w:pos="63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Заказчик признал заявку участника несоответствующей требованиям документации о закупке в связи с тем, что банк-гарант, выдавший банковскую гарантию, не соответствовал требованиям документации о закупке. Требование относительно банка-гаранта было определено следующим образом: «Произведение собственного капитала на коэффициент достаточного капитала должен быть не менее трех миллиардов рублей по данным последней отчетности».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 Влечет ли требование заказчика относительно банка-гаранта ограничение потенциальных участников закупки?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Вправе ли заказчик устанавливать требование относительно банк</w:t>
      </w:r>
      <w:proofErr w:type="gramStart"/>
      <w:r>
        <w:rPr>
          <w:rFonts w:ascii="Times New Roman" w:hAnsi="Times New Roman"/>
          <w:sz w:val="24"/>
          <w:szCs w:val="24"/>
        </w:rPr>
        <w:t>а-</w:t>
      </w:r>
      <w:proofErr w:type="gramEnd"/>
      <w:r>
        <w:rPr>
          <w:rFonts w:ascii="Times New Roman" w:hAnsi="Times New Roman"/>
          <w:sz w:val="24"/>
          <w:szCs w:val="24"/>
        </w:rPr>
        <w:t xml:space="preserve"> гаранта в случае, если закупка осуществляется в соответствии с Законом о контрактной системе (Законом о закупках)?</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По какому критерию заказчик признал заявку участника несоответствующей требованиям документации о закупке?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Вправе ли заказчик предусмотреть в качестве обеспечения заявки только предоставление банковской гарантии в случае, если закупка осуществляется в соответствии с Законом о контрактной системе (Законом о закупках)?</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Является ли банковская гарантия самостоятельным (полноценным) или дополнительным способом исполнения обязательств?</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6. Влечет ли ограничение конкуренции установление заказчиком в качестве меры обеспечения только предоставление банковской гарантии в случае, если закупка осуществляется в соответствии с Законом о контрактной системе (Законом о закупках)?</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7. Влечет ли ограничение конкуренции установление заказчиком требования к мере обеспечения — «произведение собственного капитала на коэффициент достаточности капитала должен быть не менее трех миллиардов рублей по данным последней отчетности» в случае, если закупка осуществляется в соответствии с Законом о контрактной системе (Законом о закупках)?</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8. Каковы могут быть основания Заказчика устанавливать требования к банку-гаранту, которому соответствуют только крупнейшие по капитализации банки — «ТОП-40»?</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9. Вправе ли заказчик устанавливать требования относительно банк</w:t>
      </w:r>
      <w:proofErr w:type="gramStart"/>
      <w:r>
        <w:rPr>
          <w:rFonts w:ascii="Times New Roman" w:hAnsi="Times New Roman"/>
          <w:sz w:val="24"/>
          <w:szCs w:val="24"/>
        </w:rPr>
        <w:t>а-</w:t>
      </w:r>
      <w:proofErr w:type="gramEnd"/>
      <w:r>
        <w:rPr>
          <w:rFonts w:ascii="Times New Roman" w:hAnsi="Times New Roman"/>
          <w:sz w:val="24"/>
          <w:szCs w:val="24"/>
        </w:rPr>
        <w:t xml:space="preserve"> гаранта, ограничивающие участника закупки при выборе источника банковской гарантии?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10. Каково назначение банковской гарантии? Является ли банковская гарантия в данном случае способом обеспечения исполнения обязательств контрагента перед заказчиком в рамках заключенного контракта (договора)?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11. Является ли требование заказчика относительно банка-гаранта нарушением антимонопольного законодательства?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12. Обосновано ли решение заказчика об отказе в допуске участнику на основании несоответствия требования документации о закупке?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 Закона о закупках (</w:t>
      </w:r>
      <w:proofErr w:type="spellStart"/>
      <w:proofErr w:type="gramStart"/>
      <w:r>
        <w:rPr>
          <w:rFonts w:ascii="Times New Roman" w:hAnsi="Times New Roman"/>
          <w:iCs/>
          <w:sz w:val="24"/>
          <w:szCs w:val="24"/>
        </w:rPr>
        <w:t>c</w:t>
      </w:r>
      <w:proofErr w:type="gramEnd"/>
      <w:r>
        <w:rPr>
          <w:rFonts w:ascii="Times New Roman" w:hAnsi="Times New Roman"/>
          <w:iCs/>
          <w:sz w:val="24"/>
          <w:szCs w:val="24"/>
        </w:rPr>
        <w:t>т</w:t>
      </w:r>
      <w:proofErr w:type="spellEnd"/>
      <w:r>
        <w:rPr>
          <w:rFonts w:ascii="Times New Roman" w:hAnsi="Times New Roman"/>
          <w:iCs/>
          <w:sz w:val="24"/>
          <w:szCs w:val="24"/>
        </w:rPr>
        <w:t>. 3), Закона о защите конкуренции (</w:t>
      </w:r>
      <w:proofErr w:type="spellStart"/>
      <w:r>
        <w:rPr>
          <w:rFonts w:ascii="Times New Roman" w:hAnsi="Times New Roman"/>
          <w:iCs/>
          <w:sz w:val="24"/>
          <w:szCs w:val="24"/>
        </w:rPr>
        <w:t>cт</w:t>
      </w:r>
      <w:proofErr w:type="spellEnd"/>
      <w:r>
        <w:rPr>
          <w:rFonts w:ascii="Times New Roman" w:hAnsi="Times New Roman"/>
          <w:iCs/>
          <w:sz w:val="24"/>
          <w:szCs w:val="24"/>
        </w:rPr>
        <w:t>. 17).</w:t>
      </w:r>
    </w:p>
    <w:p w:rsidR="007702A2" w:rsidRDefault="007702A2"/>
    <w:sectPr w:rsidR="00770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30F01"/>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3D2E4BEC"/>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449D055B"/>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4A9874F1"/>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4E387B8E"/>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540F0DC5"/>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55270D17"/>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5D4D1735"/>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76B257F0"/>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79795955"/>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90"/>
    <w:rsid w:val="00415B90"/>
    <w:rsid w:val="0051516B"/>
    <w:rsid w:val="007702A2"/>
    <w:rsid w:val="00850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7E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1"/>
    <w:locked/>
    <w:rsid w:val="008507ED"/>
    <w:rPr>
      <w:rFonts w:ascii="Calibri" w:eastAsia="Times New Roman" w:hAnsi="Calibri" w:cs="Times New Roman"/>
      <w:lang w:eastAsia="ru-RU"/>
    </w:rPr>
  </w:style>
  <w:style w:type="paragraph" w:styleId="a4">
    <w:name w:val="List Paragraph"/>
    <w:basedOn w:val="a"/>
    <w:link w:val="a3"/>
    <w:uiPriority w:val="1"/>
    <w:qFormat/>
    <w:rsid w:val="008507ED"/>
    <w:pPr>
      <w:ind w:left="720"/>
      <w:contextualSpacing/>
    </w:pPr>
  </w:style>
  <w:style w:type="paragraph" w:customStyle="1" w:styleId="book">
    <w:name w:val="book"/>
    <w:basedOn w:val="a"/>
    <w:rsid w:val="008507ED"/>
    <w:pPr>
      <w:spacing w:after="0" w:line="240" w:lineRule="auto"/>
      <w:ind w:firstLine="424"/>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7E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1"/>
    <w:locked/>
    <w:rsid w:val="008507ED"/>
    <w:rPr>
      <w:rFonts w:ascii="Calibri" w:eastAsia="Times New Roman" w:hAnsi="Calibri" w:cs="Times New Roman"/>
      <w:lang w:eastAsia="ru-RU"/>
    </w:rPr>
  </w:style>
  <w:style w:type="paragraph" w:styleId="a4">
    <w:name w:val="List Paragraph"/>
    <w:basedOn w:val="a"/>
    <w:link w:val="a3"/>
    <w:uiPriority w:val="1"/>
    <w:qFormat/>
    <w:rsid w:val="008507ED"/>
    <w:pPr>
      <w:ind w:left="720"/>
      <w:contextualSpacing/>
    </w:pPr>
  </w:style>
  <w:style w:type="paragraph" w:customStyle="1" w:styleId="book">
    <w:name w:val="book"/>
    <w:basedOn w:val="a"/>
    <w:rsid w:val="008507ED"/>
    <w:pPr>
      <w:spacing w:after="0" w:line="240" w:lineRule="auto"/>
      <w:ind w:firstLine="424"/>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3544</Words>
  <Characters>20204</Characters>
  <Application>Microsoft Office Word</Application>
  <DocSecurity>0</DocSecurity>
  <Lines>168</Lines>
  <Paragraphs>47</Paragraphs>
  <ScaleCrop>false</ScaleCrop>
  <Company>SPecialiST RePack</Company>
  <LinksUpToDate>false</LinksUpToDate>
  <CharactersWithSpaces>23701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2022-03-09T17:44:00Z</dcterms:created>
  <dcterms:modified xsi:type="dcterms:W3CDTF">2022-03-14T04:04:00Z</dcterms:modified>
</cp:coreProperties>
</file>